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DF" w:rsidRDefault="00770E44" w:rsidP="00E038A1">
      <w:pPr>
        <w:pStyle w:val="NoSpacing"/>
      </w:pPr>
      <w:r>
        <w:t>210741</w:t>
      </w:r>
      <w:bookmarkStart w:id="0" w:name="_GoBack"/>
      <w:bookmarkEnd w:id="0"/>
    </w:p>
    <w:p w:rsidR="002E0520" w:rsidRDefault="002E0520" w:rsidP="00E038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Changes to the Labor Agreement </w:t>
      </w:r>
      <w:r w:rsidR="000C3107">
        <w:rPr>
          <w:b/>
          <w:sz w:val="24"/>
          <w:szCs w:val="24"/>
        </w:rPr>
        <w:t>between</w:t>
      </w:r>
      <w:r>
        <w:rPr>
          <w:b/>
          <w:sz w:val="24"/>
          <w:szCs w:val="24"/>
        </w:rPr>
        <w:t xml:space="preserve"> the </w:t>
      </w:r>
      <w:proofErr w:type="gramStart"/>
      <w:r>
        <w:rPr>
          <w:b/>
          <w:sz w:val="24"/>
          <w:szCs w:val="24"/>
        </w:rPr>
        <w:t>City</w:t>
      </w:r>
      <w:proofErr w:type="gramEnd"/>
      <w:r>
        <w:rPr>
          <w:b/>
          <w:sz w:val="24"/>
          <w:szCs w:val="24"/>
        </w:rPr>
        <w:t xml:space="preserve"> of</w:t>
      </w:r>
    </w:p>
    <w:p w:rsidR="002E0520" w:rsidRDefault="002E0520" w:rsidP="00E038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Gainesville and the Communications Workers of America</w:t>
      </w:r>
      <w:r w:rsidR="007A41A5">
        <w:rPr>
          <w:b/>
          <w:sz w:val="24"/>
          <w:szCs w:val="24"/>
        </w:rPr>
        <w:t xml:space="preserve">, </w:t>
      </w:r>
      <w:r w:rsidR="00CA09C9">
        <w:rPr>
          <w:b/>
          <w:sz w:val="24"/>
          <w:szCs w:val="24"/>
        </w:rPr>
        <w:t>Non-</w:t>
      </w:r>
      <w:r w:rsidR="007A41A5">
        <w:rPr>
          <w:b/>
          <w:sz w:val="24"/>
          <w:szCs w:val="24"/>
        </w:rPr>
        <w:t>Supervisory Unit</w:t>
      </w:r>
    </w:p>
    <w:p w:rsidR="002E0520" w:rsidRDefault="002E0520" w:rsidP="00E038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No. 3170</w:t>
      </w:r>
    </w:p>
    <w:p w:rsidR="002E0520" w:rsidRDefault="002E0520" w:rsidP="00E038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Effective January 1, 20</w:t>
      </w:r>
      <w:r w:rsidR="00FB407F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– December 31, 20</w:t>
      </w:r>
      <w:r w:rsidR="00B042ED">
        <w:rPr>
          <w:b/>
          <w:sz w:val="24"/>
          <w:szCs w:val="24"/>
        </w:rPr>
        <w:t>2</w:t>
      </w:r>
      <w:r w:rsidR="00FB407F">
        <w:rPr>
          <w:b/>
          <w:sz w:val="24"/>
          <w:szCs w:val="24"/>
        </w:rPr>
        <w:t>4</w:t>
      </w:r>
    </w:p>
    <w:p w:rsidR="002E0520" w:rsidRDefault="002E0520" w:rsidP="00E038A1">
      <w:pPr>
        <w:pStyle w:val="NoSpacing"/>
        <w:rPr>
          <w:b/>
          <w:sz w:val="24"/>
          <w:szCs w:val="24"/>
        </w:rPr>
      </w:pPr>
    </w:p>
    <w:p w:rsidR="002E0520" w:rsidRPr="00B042ED" w:rsidRDefault="002E0520" w:rsidP="00E038A1">
      <w:pPr>
        <w:pStyle w:val="NoSpacing"/>
      </w:pPr>
      <w:r>
        <w:t xml:space="preserve">These </w:t>
      </w:r>
      <w:r w:rsidR="004C3C1B">
        <w:t>change</w:t>
      </w:r>
      <w:r>
        <w:t>s to the 20</w:t>
      </w:r>
      <w:r w:rsidR="00FB407F">
        <w:t>22</w:t>
      </w:r>
      <w:r>
        <w:t xml:space="preserve"> – 20</w:t>
      </w:r>
      <w:r w:rsidR="00B042ED">
        <w:t>2</w:t>
      </w:r>
      <w:r w:rsidR="00FB407F">
        <w:t>4</w:t>
      </w:r>
      <w:r>
        <w:t xml:space="preserve"> </w:t>
      </w:r>
      <w:r w:rsidR="00CA09C9" w:rsidRPr="00CA09C9">
        <w:rPr>
          <w:b/>
        </w:rPr>
        <w:t>Non-</w:t>
      </w:r>
      <w:r w:rsidR="00FA5B20" w:rsidRPr="00445649">
        <w:rPr>
          <w:b/>
        </w:rPr>
        <w:t>Supervisory</w:t>
      </w:r>
      <w:r w:rsidR="00FA5B20">
        <w:t xml:space="preserve"> </w:t>
      </w:r>
      <w:r>
        <w:t xml:space="preserve">Agreement have been reached through negotiations between the Communications </w:t>
      </w:r>
      <w:r w:rsidRPr="00B042ED">
        <w:t>Workers of America and the City of Gainesville, and were ratified by the Commu</w:t>
      </w:r>
      <w:r w:rsidR="00747E68">
        <w:t>nications Workers of America on Decem</w:t>
      </w:r>
      <w:r w:rsidR="00FB407F">
        <w:t xml:space="preserve">ber </w:t>
      </w:r>
      <w:r w:rsidR="00123E15">
        <w:t>14</w:t>
      </w:r>
      <w:r w:rsidR="00FB407F">
        <w:t>, 2021</w:t>
      </w:r>
      <w:r w:rsidRPr="00B042ED">
        <w:t xml:space="preserve">.  </w:t>
      </w:r>
      <w:r w:rsidR="004C3C1B" w:rsidRPr="00B042ED">
        <w:t>Where necessary, dates, policy references, and article reference numbers were changed throughout the</w:t>
      </w:r>
      <w:r w:rsidRPr="00B042ED">
        <w:t xml:space="preserve"> Agreement</w:t>
      </w:r>
      <w:r w:rsidR="004C3C1B" w:rsidRPr="00B042ED">
        <w:t>s</w:t>
      </w:r>
      <w:r w:rsidRPr="00B042ED">
        <w:t xml:space="preserve">. </w:t>
      </w:r>
    </w:p>
    <w:p w:rsidR="00E038A1" w:rsidRPr="006C5546" w:rsidRDefault="00E038A1" w:rsidP="00E038A1">
      <w:pPr>
        <w:pStyle w:val="NoSpacing"/>
        <w:rPr>
          <w:u w:val="single"/>
        </w:rPr>
      </w:pPr>
    </w:p>
    <w:p w:rsidR="007A102F" w:rsidRPr="006C5546" w:rsidRDefault="007A102F" w:rsidP="0049598F">
      <w:pPr>
        <w:pStyle w:val="NoSpacing"/>
        <w:rPr>
          <w:b/>
          <w:u w:val="single"/>
        </w:rPr>
      </w:pPr>
      <w:r w:rsidRPr="006C5546">
        <w:rPr>
          <w:b/>
          <w:u w:val="single"/>
        </w:rPr>
        <w:t>Article 8 – Grievance Procedure</w:t>
      </w:r>
    </w:p>
    <w:p w:rsidR="007A102F" w:rsidRPr="006C5546" w:rsidRDefault="007A102F" w:rsidP="0049598F">
      <w:pPr>
        <w:pStyle w:val="NoSpacing"/>
      </w:pPr>
      <w:r w:rsidRPr="006C5546">
        <w:t>8.</w:t>
      </w:r>
      <w:r w:rsidR="006C5546" w:rsidRPr="006C5546">
        <w:t>3</w:t>
      </w:r>
      <w:proofErr w:type="gramStart"/>
      <w:r w:rsidR="006C5546" w:rsidRPr="006C5546">
        <w:t>.H</w:t>
      </w:r>
      <w:proofErr w:type="gramEnd"/>
      <w:r w:rsidR="006C5546" w:rsidRPr="006C5546">
        <w:t>. (Step 3)</w:t>
      </w:r>
      <w:r w:rsidRPr="006C5546">
        <w:t xml:space="preserve">: </w:t>
      </w:r>
      <w:r w:rsidR="006C5546" w:rsidRPr="006C5546">
        <w:t>Updated to say ‘appropriate Charter Officer’ instead of City Manager or General Manager for Utilities.</w:t>
      </w:r>
    </w:p>
    <w:p w:rsidR="007A102F" w:rsidRPr="00B06B1D" w:rsidRDefault="007A102F" w:rsidP="0049598F">
      <w:pPr>
        <w:pStyle w:val="NoSpacing"/>
        <w:rPr>
          <w:b/>
          <w:u w:val="single"/>
        </w:rPr>
      </w:pPr>
    </w:p>
    <w:p w:rsidR="001A1701" w:rsidRPr="00B06B1D" w:rsidRDefault="001A1701" w:rsidP="0049598F">
      <w:pPr>
        <w:pStyle w:val="NoSpacing"/>
        <w:rPr>
          <w:b/>
          <w:u w:val="single"/>
        </w:rPr>
      </w:pPr>
      <w:r w:rsidRPr="00B06B1D">
        <w:rPr>
          <w:b/>
          <w:u w:val="single"/>
        </w:rPr>
        <w:t>Article 12 – PTO</w:t>
      </w:r>
    </w:p>
    <w:p w:rsidR="00004C41" w:rsidRDefault="00E36986" w:rsidP="004C7B0F">
      <w:pPr>
        <w:pStyle w:val="NoSpacing"/>
      </w:pPr>
      <w:r w:rsidRPr="00B06B1D">
        <w:t>12.</w:t>
      </w:r>
      <w:r w:rsidR="007B3C2A" w:rsidRPr="00B06B1D">
        <w:t>7</w:t>
      </w:r>
      <w:r w:rsidRPr="00B06B1D">
        <w:t xml:space="preserve">: </w:t>
      </w:r>
      <w:r w:rsidR="00B06B1D" w:rsidRPr="00B06B1D">
        <w:t xml:space="preserve">Added ‘Article 26 (Leave of Absence With or Without Pay)’ to the list of leaves where employees are not required to first use 16 hours of PTO. </w:t>
      </w:r>
    </w:p>
    <w:p w:rsidR="00C05D1D" w:rsidRDefault="00004C41" w:rsidP="004C7B0F">
      <w:pPr>
        <w:pStyle w:val="NoSpacing"/>
      </w:pPr>
      <w:r>
        <w:t>12.17: Updated PTO sell back to permit cash out any one time during the fiscal year.</w:t>
      </w:r>
    </w:p>
    <w:p w:rsidR="00C05D1D" w:rsidRDefault="00C05D1D" w:rsidP="004C7B0F">
      <w:pPr>
        <w:pStyle w:val="NoSpacing"/>
      </w:pPr>
    </w:p>
    <w:p w:rsidR="00C05D1D" w:rsidRPr="00C05D1D" w:rsidRDefault="00C05D1D" w:rsidP="004C7B0F">
      <w:pPr>
        <w:pStyle w:val="NoSpacing"/>
        <w:rPr>
          <w:b/>
          <w:u w:val="single"/>
        </w:rPr>
      </w:pPr>
      <w:r w:rsidRPr="00C05D1D">
        <w:rPr>
          <w:b/>
          <w:u w:val="single"/>
        </w:rPr>
        <w:t xml:space="preserve">Article 13 – Holidays </w:t>
      </w:r>
    </w:p>
    <w:p w:rsidR="00686A57" w:rsidRDefault="00C05D1D" w:rsidP="004C7B0F">
      <w:pPr>
        <w:pStyle w:val="NoSpacing"/>
      </w:pPr>
      <w:r>
        <w:t>13.1: Added Juneteenth as an official holiday. Added language triggering bargaining in the event additional holidays are declared by the Commission.</w:t>
      </w:r>
    </w:p>
    <w:p w:rsidR="00686A57" w:rsidRDefault="00686A57" w:rsidP="004C7B0F">
      <w:pPr>
        <w:pStyle w:val="NoSpacing"/>
      </w:pPr>
    </w:p>
    <w:p w:rsidR="00686A57" w:rsidRPr="00686A57" w:rsidRDefault="00686A57" w:rsidP="004C7B0F">
      <w:pPr>
        <w:pStyle w:val="NoSpacing"/>
        <w:rPr>
          <w:b/>
          <w:u w:val="single"/>
        </w:rPr>
      </w:pPr>
      <w:r w:rsidRPr="00686A57">
        <w:rPr>
          <w:b/>
          <w:u w:val="single"/>
        </w:rPr>
        <w:t>Article 15 – Premium Pay</w:t>
      </w:r>
    </w:p>
    <w:p w:rsidR="000C3107" w:rsidRDefault="00686A57" w:rsidP="004C7B0F">
      <w:pPr>
        <w:pStyle w:val="NoSpacing"/>
      </w:pPr>
      <w:r>
        <w:t xml:space="preserve">15.10: </w:t>
      </w:r>
      <w:r w:rsidR="00ED5D6D">
        <w:t>Changed trigger for Out of Class pay from 40 consecutive hours in a pay period to 80 consecutive hours. Modified language to permit Out of Class premium pay on all hours in a pay status (excluding Leaves of Absence), instead of only hours worked and holidays.</w:t>
      </w:r>
    </w:p>
    <w:p w:rsidR="000C3107" w:rsidRDefault="000C3107" w:rsidP="000C3107">
      <w:pPr>
        <w:pStyle w:val="NoSpacing"/>
      </w:pPr>
      <w:r>
        <w:t>15.11: Changed trigger for Special Assignment pay from 40 consecutive hours in a pay period to 80 consecutive hours. Modified language to permit Special Assignment premium pay on all hours in a pay status (excluding Leaves of Absence), instead of only hours worked and holidays.</w:t>
      </w:r>
    </w:p>
    <w:p w:rsidR="004C7B0F" w:rsidRPr="00B06B1D" w:rsidRDefault="00A551A4" w:rsidP="004C7B0F">
      <w:pPr>
        <w:pStyle w:val="NoSpacing"/>
        <w:rPr>
          <w:rFonts w:eastAsia="Times New Roman" w:cstheme="minorHAnsi"/>
          <w:spacing w:val="-3"/>
        </w:rPr>
      </w:pPr>
      <w:r>
        <w:t>15.12: Added language clarifying that where policy conflicts with contract on Acting Assignments, the contract will prevail.</w:t>
      </w:r>
    </w:p>
    <w:p w:rsidR="00356AB6" w:rsidRPr="004270D0" w:rsidRDefault="00356AB6" w:rsidP="00356AB6">
      <w:pPr>
        <w:pStyle w:val="NoSpacing"/>
        <w:rPr>
          <w:rFonts w:cstheme="minorHAnsi"/>
        </w:rPr>
      </w:pPr>
    </w:p>
    <w:p w:rsidR="00356AB6" w:rsidRPr="004270D0" w:rsidRDefault="00356AB6" w:rsidP="00356AB6">
      <w:pPr>
        <w:pStyle w:val="NoSpacing"/>
        <w:rPr>
          <w:b/>
          <w:u w:val="single"/>
        </w:rPr>
      </w:pPr>
      <w:r w:rsidRPr="004270D0">
        <w:rPr>
          <w:rFonts w:cstheme="minorHAnsi"/>
          <w:b/>
          <w:u w:val="single"/>
        </w:rPr>
        <w:lastRenderedPageBreak/>
        <w:t>Article 22 – Hospitalization</w:t>
      </w:r>
      <w:r w:rsidRPr="004270D0">
        <w:rPr>
          <w:b/>
          <w:u w:val="single"/>
        </w:rPr>
        <w:t xml:space="preserve"> and Life Insurance</w:t>
      </w:r>
    </w:p>
    <w:p w:rsidR="00A95224" w:rsidRPr="00AD0A95" w:rsidRDefault="00102700" w:rsidP="004270D0">
      <w:pPr>
        <w:pStyle w:val="NoSpacing"/>
        <w:rPr>
          <w:rFonts w:cstheme="minorHAnsi"/>
        </w:rPr>
      </w:pPr>
      <w:r w:rsidRPr="004270D0">
        <w:rPr>
          <w:rFonts w:cstheme="minorHAnsi"/>
        </w:rPr>
        <w:t>22.3: Updated</w:t>
      </w:r>
      <w:r w:rsidR="00A95224" w:rsidRPr="004270D0">
        <w:rPr>
          <w:rFonts w:cstheme="minorHAnsi"/>
        </w:rPr>
        <w:t xml:space="preserve"> dates to reflect term of contract. </w:t>
      </w:r>
    </w:p>
    <w:p w:rsidR="003B3CB6" w:rsidRPr="00AD0A95" w:rsidRDefault="003B3CB6" w:rsidP="00356AB6">
      <w:pPr>
        <w:pStyle w:val="NoSpacing"/>
        <w:rPr>
          <w:rFonts w:cstheme="minorHAnsi"/>
        </w:rPr>
      </w:pPr>
    </w:p>
    <w:p w:rsidR="00CF5EE4" w:rsidRPr="00AD0A95" w:rsidRDefault="00CF5EE4" w:rsidP="00E038A1">
      <w:pPr>
        <w:pStyle w:val="NoSpacing"/>
        <w:rPr>
          <w:b/>
          <w:u w:val="single"/>
        </w:rPr>
      </w:pPr>
      <w:r w:rsidRPr="00AD0A95">
        <w:rPr>
          <w:b/>
          <w:u w:val="single"/>
        </w:rPr>
        <w:t>Article 24 – Miscellaneous Employee Benefits</w:t>
      </w:r>
    </w:p>
    <w:p w:rsidR="002F03DD" w:rsidRPr="00AD0A95" w:rsidRDefault="00044425" w:rsidP="009757B9">
      <w:pPr>
        <w:pStyle w:val="NoSpacing"/>
        <w:numPr>
          <w:ilvl w:val="0"/>
          <w:numId w:val="15"/>
        </w:numPr>
      </w:pPr>
      <w:r w:rsidRPr="00AD0A95">
        <w:t>24.</w:t>
      </w:r>
      <w:r w:rsidR="00753D08" w:rsidRPr="00AD0A95">
        <w:t>3</w:t>
      </w:r>
      <w:r w:rsidRPr="00AD0A95">
        <w:t>:</w:t>
      </w:r>
      <w:r w:rsidR="00753D08" w:rsidRPr="00AD0A95">
        <w:t xml:space="preserve"> </w:t>
      </w:r>
      <w:r w:rsidR="00406261" w:rsidRPr="00AD0A95">
        <w:t xml:space="preserve">Updated expiration date on </w:t>
      </w:r>
      <w:r w:rsidR="00627510" w:rsidRPr="00AD0A95">
        <w:t xml:space="preserve">Police Service Technician allowances, and on </w:t>
      </w:r>
      <w:r w:rsidR="00406261" w:rsidRPr="00AD0A95">
        <w:t xml:space="preserve">use of uniform allowance toward purchase of approved, job appropriate footwear, to coincide with expiration of contract. </w:t>
      </w:r>
      <w:r w:rsidR="007D3F51">
        <w:t>Added Leather Allowance for Police Forensic Crime Technicians.</w:t>
      </w:r>
    </w:p>
    <w:p w:rsidR="00406261" w:rsidRPr="00AD0A95" w:rsidRDefault="00406261" w:rsidP="009757B9">
      <w:pPr>
        <w:pStyle w:val="NoSpacing"/>
        <w:numPr>
          <w:ilvl w:val="0"/>
          <w:numId w:val="15"/>
        </w:numPr>
      </w:pPr>
      <w:r w:rsidRPr="00AD0A95">
        <w:t xml:space="preserve">24.6: </w:t>
      </w:r>
      <w:r w:rsidR="0053351B" w:rsidRPr="00AD0A95">
        <w:t xml:space="preserve">Increased value of Gas Pipeline Welder Supplement by </w:t>
      </w:r>
      <w:r w:rsidR="00AD0A95" w:rsidRPr="00AD0A95">
        <w:t>2½</w:t>
      </w:r>
      <w:r w:rsidR="0053351B" w:rsidRPr="00AD0A95">
        <w:t>%</w:t>
      </w:r>
      <w:r w:rsidR="00AD0A95" w:rsidRPr="00AD0A95">
        <w:t xml:space="preserve"> each year</w:t>
      </w:r>
      <w:r w:rsidR="00CC7CC9" w:rsidRPr="00AD0A95">
        <w:t>.</w:t>
      </w:r>
    </w:p>
    <w:p w:rsidR="0053351B" w:rsidRPr="00AD0A95" w:rsidRDefault="0053351B" w:rsidP="009757B9">
      <w:pPr>
        <w:pStyle w:val="NoSpacing"/>
        <w:numPr>
          <w:ilvl w:val="0"/>
          <w:numId w:val="15"/>
        </w:numPr>
      </w:pPr>
      <w:r w:rsidRPr="00AD0A95">
        <w:t xml:space="preserve">24.7: </w:t>
      </w:r>
      <w:r w:rsidR="00CC7CC9" w:rsidRPr="00AD0A95">
        <w:t xml:space="preserve">Increased value of </w:t>
      </w:r>
      <w:r w:rsidR="00AD0A95" w:rsidRPr="00AD0A95">
        <w:t>Dept. of Transportation and Mobility</w:t>
      </w:r>
      <w:r w:rsidR="00CC7CC9" w:rsidRPr="00AD0A95">
        <w:t xml:space="preserve"> Electrical Certification Pay by </w:t>
      </w:r>
      <w:r w:rsidR="00AD0A95" w:rsidRPr="00AD0A95">
        <w:t>2½</w:t>
      </w:r>
      <w:r w:rsidR="00CC7CC9" w:rsidRPr="00AD0A95">
        <w:t>%</w:t>
      </w:r>
      <w:r w:rsidR="00AD0A95" w:rsidRPr="00AD0A95">
        <w:t xml:space="preserve"> each year</w:t>
      </w:r>
      <w:r w:rsidR="00CC7CC9" w:rsidRPr="00AD0A95">
        <w:t xml:space="preserve">. </w:t>
      </w:r>
    </w:p>
    <w:p w:rsidR="00C06B2F" w:rsidRPr="00367032" w:rsidRDefault="00C06B2F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367032" w:rsidRDefault="00367032" w:rsidP="00E038A1">
      <w:pPr>
        <w:pStyle w:val="NoSpacing"/>
        <w:rPr>
          <w:b/>
          <w:u w:val="single"/>
        </w:rPr>
      </w:pPr>
    </w:p>
    <w:p w:rsidR="00E038A1" w:rsidRPr="00367032" w:rsidRDefault="00E038A1" w:rsidP="00E038A1">
      <w:pPr>
        <w:pStyle w:val="NoSpacing"/>
        <w:rPr>
          <w:rFonts w:cstheme="minorHAnsi"/>
          <w:b/>
          <w:u w:val="single"/>
        </w:rPr>
      </w:pPr>
      <w:r w:rsidRPr="00367032">
        <w:rPr>
          <w:b/>
          <w:u w:val="single"/>
        </w:rPr>
        <w:t xml:space="preserve">Article 34 – </w:t>
      </w:r>
      <w:r w:rsidRPr="00367032">
        <w:rPr>
          <w:rFonts w:cstheme="minorHAnsi"/>
          <w:b/>
          <w:u w:val="single"/>
        </w:rPr>
        <w:t>Wages</w:t>
      </w:r>
    </w:p>
    <w:p w:rsidR="00825027" w:rsidRPr="00367032" w:rsidRDefault="00825027" w:rsidP="0082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032" w:rsidRPr="00367032" w:rsidRDefault="00367032" w:rsidP="0036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8C8A" wp14:editId="2C52C78E">
                <wp:simplePos x="0" y="0"/>
                <wp:positionH relativeFrom="column">
                  <wp:posOffset>458470</wp:posOffset>
                </wp:positionH>
                <wp:positionV relativeFrom="paragraph">
                  <wp:posOffset>2719070</wp:posOffset>
                </wp:positionV>
                <wp:extent cx="8996680" cy="1935480"/>
                <wp:effectExtent l="1270" t="4445" r="3175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9668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DFA4" id="Control 2" o:spid="_x0000_s1026" style="position:absolute;margin-left:36.1pt;margin-top:214.1pt;width:708.4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809"/>
        <w:gridCol w:w="2750"/>
        <w:gridCol w:w="6106"/>
      </w:tblGrid>
      <w:tr w:rsidR="00367032" w:rsidRPr="00367032" w:rsidTr="00367032">
        <w:trPr>
          <w:trHeight w:val="732"/>
        </w:trPr>
        <w:tc>
          <w:tcPr>
            <w:tcW w:w="2503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3DF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240" w:lineRule="auto"/>
              <w:jc w:val="center"/>
              <w:rPr>
                <w:rFonts w:eastAsia="Times New Roman" w:cstheme="minorHAnsi"/>
                <w:kern w:val="28"/>
                <w14:cntxtAlts/>
              </w:rPr>
            </w:pPr>
            <w:r w:rsidRPr="00367032">
              <w:rPr>
                <w:rFonts w:eastAsia="Times New Roman" w:cstheme="minorHAnsi"/>
                <w:kern w:val="28"/>
                <w14:cntxtAlts/>
              </w:rPr>
              <w:t>CONTRACT YEAR</w:t>
            </w:r>
          </w:p>
        </w:tc>
        <w:tc>
          <w:tcPr>
            <w:tcW w:w="2809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3DF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240" w:lineRule="auto"/>
              <w:jc w:val="center"/>
              <w:rPr>
                <w:rFonts w:eastAsia="Times New Roman" w:cstheme="minorHAnsi"/>
                <w:kern w:val="28"/>
                <w14:cntxtAlts/>
              </w:rPr>
            </w:pPr>
            <w:r w:rsidRPr="00367032">
              <w:rPr>
                <w:rFonts w:eastAsia="Times New Roman" w:cstheme="minorHAnsi"/>
                <w:kern w:val="28"/>
                <w14:cntxtAlts/>
              </w:rPr>
              <w:t xml:space="preserve">GENERAL WAGE </w:t>
            </w:r>
          </w:p>
          <w:p w:rsidR="00367032" w:rsidRPr="00367032" w:rsidRDefault="00367032" w:rsidP="00367032">
            <w:pPr>
              <w:widowControl w:val="0"/>
              <w:spacing w:after="72" w:line="240" w:lineRule="auto"/>
              <w:jc w:val="center"/>
              <w:rPr>
                <w:rFonts w:eastAsia="Times New Roman" w:cstheme="minorHAnsi"/>
                <w:kern w:val="28"/>
                <w14:cntxtAlts/>
              </w:rPr>
            </w:pPr>
            <w:r w:rsidRPr="00367032">
              <w:rPr>
                <w:rFonts w:eastAsia="Times New Roman" w:cstheme="minorHAnsi"/>
                <w:kern w:val="28"/>
                <w14:cntxtAlts/>
              </w:rPr>
              <w:t>INCREASE</w:t>
            </w:r>
          </w:p>
        </w:tc>
        <w:tc>
          <w:tcPr>
            <w:tcW w:w="275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3DF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240" w:lineRule="auto"/>
              <w:jc w:val="center"/>
              <w:rPr>
                <w:rFonts w:eastAsia="Times New Roman" w:cstheme="minorHAnsi"/>
                <w:kern w:val="28"/>
                <w14:cntxtAlts/>
              </w:rPr>
            </w:pPr>
            <w:r w:rsidRPr="00367032">
              <w:rPr>
                <w:rFonts w:eastAsia="Times New Roman" w:cstheme="minorHAnsi"/>
                <w:kern w:val="28"/>
                <w14:cntxtAlts/>
              </w:rPr>
              <w:t>EFFECTIVE DATE</w:t>
            </w:r>
          </w:p>
        </w:tc>
        <w:tc>
          <w:tcPr>
            <w:tcW w:w="6106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D3DF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240" w:lineRule="auto"/>
              <w:jc w:val="center"/>
              <w:rPr>
                <w:rFonts w:eastAsia="Times New Roman" w:cstheme="minorHAnsi"/>
                <w:kern w:val="28"/>
                <w14:cntxtAlts/>
              </w:rPr>
            </w:pPr>
            <w:r w:rsidRPr="00367032">
              <w:rPr>
                <w:rFonts w:eastAsia="Times New Roman" w:cstheme="minorHAnsi"/>
                <w:kern w:val="28"/>
                <w14:cntxtAlts/>
              </w:rPr>
              <w:t>ELIGIBILITY</w:t>
            </w:r>
          </w:p>
        </w:tc>
      </w:tr>
      <w:tr w:rsidR="00367032" w:rsidRPr="00367032" w:rsidTr="00367032">
        <w:trPr>
          <w:trHeight w:val="705"/>
        </w:trPr>
        <w:tc>
          <w:tcPr>
            <w:tcW w:w="2503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2022</w:t>
            </w:r>
          </w:p>
        </w:tc>
        <w:tc>
          <w:tcPr>
            <w:tcW w:w="2809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2.5%</w:t>
            </w:r>
          </w:p>
        </w:tc>
        <w:tc>
          <w:tcPr>
            <w:tcW w:w="275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bCs/>
                <w:color w:val="000000"/>
                <w:kern w:val="28"/>
                <w14:cntxtAlts/>
              </w:rPr>
              <w:t>January 10, 2022</w:t>
            </w:r>
          </w:p>
        </w:tc>
        <w:tc>
          <w:tcPr>
            <w:tcW w:w="6106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Those not progressing in a PTTP, and limited by the pay range maximum.</w:t>
            </w:r>
          </w:p>
        </w:tc>
      </w:tr>
      <w:tr w:rsidR="00367032" w:rsidRPr="00367032" w:rsidTr="00367032">
        <w:trPr>
          <w:trHeight w:val="837"/>
        </w:trPr>
        <w:tc>
          <w:tcPr>
            <w:tcW w:w="2503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2023</w:t>
            </w:r>
          </w:p>
        </w:tc>
        <w:tc>
          <w:tcPr>
            <w:tcW w:w="2809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bCs/>
                <w:color w:val="000000"/>
                <w:kern w:val="28"/>
                <w14:cntxtAlts/>
              </w:rPr>
              <w:t>2.5%</w:t>
            </w:r>
          </w:p>
        </w:tc>
        <w:tc>
          <w:tcPr>
            <w:tcW w:w="275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bCs/>
                <w:color w:val="000000"/>
                <w:kern w:val="28"/>
                <w14:cntxtAlts/>
              </w:rPr>
              <w:t>January 9, 2023</w:t>
            </w:r>
          </w:p>
        </w:tc>
        <w:tc>
          <w:tcPr>
            <w:tcW w:w="6106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Those not progressing in a PTTP, and limited by the pay range maximum.</w:t>
            </w:r>
          </w:p>
        </w:tc>
      </w:tr>
      <w:tr w:rsidR="00367032" w:rsidRPr="00367032" w:rsidTr="00367032">
        <w:trPr>
          <w:trHeight w:val="774"/>
        </w:trPr>
        <w:tc>
          <w:tcPr>
            <w:tcW w:w="2503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2024</w:t>
            </w:r>
          </w:p>
        </w:tc>
        <w:tc>
          <w:tcPr>
            <w:tcW w:w="2809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bCs/>
                <w:color w:val="000000"/>
                <w:kern w:val="28"/>
                <w14:cntxtAlts/>
              </w:rPr>
              <w:t>2.5%</w:t>
            </w:r>
          </w:p>
        </w:tc>
        <w:tc>
          <w:tcPr>
            <w:tcW w:w="275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72" w:line="36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bCs/>
                <w:color w:val="000000"/>
                <w:kern w:val="28"/>
                <w14:cntxtAlts/>
              </w:rPr>
              <w:t>January 8, 2024</w:t>
            </w:r>
          </w:p>
        </w:tc>
        <w:tc>
          <w:tcPr>
            <w:tcW w:w="6106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032" w:rsidRPr="00367032" w:rsidRDefault="00367032" w:rsidP="0036703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367032">
              <w:rPr>
                <w:rFonts w:eastAsia="Times New Roman" w:cstheme="minorHAnsi"/>
                <w:color w:val="000000"/>
                <w:kern w:val="28"/>
                <w14:cntxtAlts/>
              </w:rPr>
              <w:t>Those not progressing in a PTTP, and limited by the pay range maximum.</w:t>
            </w:r>
          </w:p>
        </w:tc>
      </w:tr>
    </w:tbl>
    <w:p w:rsidR="00367032" w:rsidRPr="00367032" w:rsidRDefault="00367032" w:rsidP="0082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DFB" w:rsidRPr="00367032" w:rsidRDefault="00A07DFB" w:rsidP="00A07DFB">
      <w:pPr>
        <w:pStyle w:val="NoSpacing"/>
        <w:rPr>
          <w:rFonts w:cstheme="minorHAnsi"/>
          <w:b/>
          <w:u w:val="single"/>
        </w:rPr>
      </w:pPr>
    </w:p>
    <w:p w:rsidR="009F6F43" w:rsidRDefault="009F6F43" w:rsidP="00367032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34.1: Provided for 2½% increase to range maximums in January 2023 and January 2024.</w:t>
      </w:r>
    </w:p>
    <w:p w:rsidR="00476527" w:rsidRPr="00367032" w:rsidRDefault="008E4F9B" w:rsidP="00367032">
      <w:pPr>
        <w:pStyle w:val="NoSpacing"/>
        <w:numPr>
          <w:ilvl w:val="0"/>
          <w:numId w:val="23"/>
        </w:numPr>
        <w:rPr>
          <w:rFonts w:cstheme="minorHAnsi"/>
        </w:rPr>
      </w:pPr>
      <w:r w:rsidRPr="00367032">
        <w:rPr>
          <w:rFonts w:cstheme="minorHAnsi"/>
        </w:rPr>
        <w:t>34.</w:t>
      </w:r>
      <w:r w:rsidR="00367032">
        <w:rPr>
          <w:rFonts w:cstheme="minorHAnsi"/>
        </w:rPr>
        <w:t>9</w:t>
      </w:r>
      <w:r w:rsidRPr="00367032">
        <w:rPr>
          <w:rFonts w:cstheme="minorHAnsi"/>
        </w:rPr>
        <w:t xml:space="preserve">: </w:t>
      </w:r>
      <w:r w:rsidR="00C74C40" w:rsidRPr="00367032">
        <w:rPr>
          <w:rFonts w:cstheme="minorHAnsi"/>
        </w:rPr>
        <w:t>Updated Living Wage, increasing it from $</w:t>
      </w:r>
      <w:r w:rsidR="00367032">
        <w:rPr>
          <w:rFonts w:cstheme="minorHAnsi"/>
        </w:rPr>
        <w:t>14.25</w:t>
      </w:r>
      <w:r w:rsidR="00C74C40" w:rsidRPr="00367032">
        <w:rPr>
          <w:rFonts w:cstheme="minorHAnsi"/>
        </w:rPr>
        <w:t>/hour to $</w:t>
      </w:r>
      <w:r w:rsidR="00367032">
        <w:rPr>
          <w:rFonts w:cstheme="minorHAnsi"/>
        </w:rPr>
        <w:t>15</w:t>
      </w:r>
      <w:r w:rsidR="00C74C40" w:rsidRPr="00367032">
        <w:rPr>
          <w:rFonts w:cstheme="minorHAnsi"/>
        </w:rPr>
        <w:t>/hour, effective January 1</w:t>
      </w:r>
      <w:r w:rsidR="00367032">
        <w:rPr>
          <w:rFonts w:cstheme="minorHAnsi"/>
        </w:rPr>
        <w:t>0</w:t>
      </w:r>
      <w:r w:rsidR="00C74C40" w:rsidRPr="00367032">
        <w:rPr>
          <w:rFonts w:cstheme="minorHAnsi"/>
        </w:rPr>
        <w:t>, 20</w:t>
      </w:r>
      <w:r w:rsidR="00367032">
        <w:rPr>
          <w:rFonts w:cstheme="minorHAnsi"/>
        </w:rPr>
        <w:t>22</w:t>
      </w:r>
      <w:r w:rsidR="00C74C40" w:rsidRPr="00367032">
        <w:rPr>
          <w:rFonts w:cstheme="minorHAnsi"/>
        </w:rPr>
        <w:t>.</w:t>
      </w:r>
    </w:p>
    <w:sectPr w:rsidR="00476527" w:rsidRPr="00367032" w:rsidSect="00C06B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D3"/>
    <w:multiLevelType w:val="hybridMultilevel"/>
    <w:tmpl w:val="8746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2C3"/>
    <w:multiLevelType w:val="hybridMultilevel"/>
    <w:tmpl w:val="F79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A5F"/>
    <w:multiLevelType w:val="hybridMultilevel"/>
    <w:tmpl w:val="2D4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F7"/>
    <w:multiLevelType w:val="hybridMultilevel"/>
    <w:tmpl w:val="A02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4390"/>
    <w:multiLevelType w:val="hybridMultilevel"/>
    <w:tmpl w:val="026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968"/>
    <w:multiLevelType w:val="hybridMultilevel"/>
    <w:tmpl w:val="F3EC5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C30C8"/>
    <w:multiLevelType w:val="hybridMultilevel"/>
    <w:tmpl w:val="3EBE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9C2"/>
    <w:multiLevelType w:val="hybridMultilevel"/>
    <w:tmpl w:val="19FA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941"/>
    <w:multiLevelType w:val="hybridMultilevel"/>
    <w:tmpl w:val="D03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2586"/>
    <w:multiLevelType w:val="hybridMultilevel"/>
    <w:tmpl w:val="97FE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196E"/>
    <w:multiLevelType w:val="hybridMultilevel"/>
    <w:tmpl w:val="3D3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7C7"/>
    <w:multiLevelType w:val="hybridMultilevel"/>
    <w:tmpl w:val="B2A88C66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33F02D38"/>
    <w:multiLevelType w:val="hybridMultilevel"/>
    <w:tmpl w:val="11F4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19A9"/>
    <w:multiLevelType w:val="hybridMultilevel"/>
    <w:tmpl w:val="599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429B"/>
    <w:multiLevelType w:val="hybridMultilevel"/>
    <w:tmpl w:val="CE5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41B41"/>
    <w:multiLevelType w:val="hybridMultilevel"/>
    <w:tmpl w:val="BF0CEA7C"/>
    <w:lvl w:ilvl="0" w:tplc="69264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79637C"/>
    <w:multiLevelType w:val="hybridMultilevel"/>
    <w:tmpl w:val="8F8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62C"/>
    <w:multiLevelType w:val="hybridMultilevel"/>
    <w:tmpl w:val="1FE4D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745F"/>
    <w:multiLevelType w:val="hybridMultilevel"/>
    <w:tmpl w:val="58B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3C27"/>
    <w:multiLevelType w:val="hybridMultilevel"/>
    <w:tmpl w:val="DA6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B11C3"/>
    <w:multiLevelType w:val="hybridMultilevel"/>
    <w:tmpl w:val="2AD6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444EA"/>
    <w:multiLevelType w:val="hybridMultilevel"/>
    <w:tmpl w:val="DF7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51503"/>
    <w:multiLevelType w:val="hybridMultilevel"/>
    <w:tmpl w:val="CFD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D7136"/>
    <w:multiLevelType w:val="hybridMultilevel"/>
    <w:tmpl w:val="0E9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16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3"/>
  </w:num>
  <w:num w:numId="19">
    <w:abstractNumId w:val="23"/>
  </w:num>
  <w:num w:numId="20">
    <w:abstractNumId w:val="5"/>
  </w:num>
  <w:num w:numId="21">
    <w:abstractNumId w:val="18"/>
  </w:num>
  <w:num w:numId="22">
    <w:abstractNumId w:val="1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0"/>
    <w:rsid w:val="000006C0"/>
    <w:rsid w:val="00004C41"/>
    <w:rsid w:val="00025260"/>
    <w:rsid w:val="0004048D"/>
    <w:rsid w:val="00044425"/>
    <w:rsid w:val="00070F44"/>
    <w:rsid w:val="000C3107"/>
    <w:rsid w:val="000D1C1F"/>
    <w:rsid w:val="000F7020"/>
    <w:rsid w:val="00102700"/>
    <w:rsid w:val="001119D0"/>
    <w:rsid w:val="00123E15"/>
    <w:rsid w:val="00133198"/>
    <w:rsid w:val="001374F2"/>
    <w:rsid w:val="00162A12"/>
    <w:rsid w:val="001865CC"/>
    <w:rsid w:val="001A1701"/>
    <w:rsid w:val="001A2E38"/>
    <w:rsid w:val="001D4954"/>
    <w:rsid w:val="00211084"/>
    <w:rsid w:val="00243B01"/>
    <w:rsid w:val="00243BD5"/>
    <w:rsid w:val="002508C3"/>
    <w:rsid w:val="00263636"/>
    <w:rsid w:val="0027376F"/>
    <w:rsid w:val="00276515"/>
    <w:rsid w:val="002A1E74"/>
    <w:rsid w:val="002A699B"/>
    <w:rsid w:val="002B4E67"/>
    <w:rsid w:val="002E0520"/>
    <w:rsid w:val="002F03DD"/>
    <w:rsid w:val="002F36FD"/>
    <w:rsid w:val="0031367F"/>
    <w:rsid w:val="00330C93"/>
    <w:rsid w:val="003539BD"/>
    <w:rsid w:val="00356AB6"/>
    <w:rsid w:val="00367032"/>
    <w:rsid w:val="003760E9"/>
    <w:rsid w:val="00381452"/>
    <w:rsid w:val="003A0A1A"/>
    <w:rsid w:val="003A7FB8"/>
    <w:rsid w:val="003B3CB6"/>
    <w:rsid w:val="003B72ED"/>
    <w:rsid w:val="003C75DF"/>
    <w:rsid w:val="003D52EB"/>
    <w:rsid w:val="003F7E18"/>
    <w:rsid w:val="004006C6"/>
    <w:rsid w:val="00403D57"/>
    <w:rsid w:val="00406261"/>
    <w:rsid w:val="0042515C"/>
    <w:rsid w:val="004270D0"/>
    <w:rsid w:val="00445649"/>
    <w:rsid w:val="004509DE"/>
    <w:rsid w:val="004546E6"/>
    <w:rsid w:val="00476527"/>
    <w:rsid w:val="00482BC0"/>
    <w:rsid w:val="004930F7"/>
    <w:rsid w:val="0049598F"/>
    <w:rsid w:val="004A5980"/>
    <w:rsid w:val="004B55BA"/>
    <w:rsid w:val="004C3C1B"/>
    <w:rsid w:val="004C7B0F"/>
    <w:rsid w:val="0053351B"/>
    <w:rsid w:val="00586851"/>
    <w:rsid w:val="005B2336"/>
    <w:rsid w:val="005D0B6F"/>
    <w:rsid w:val="005F4BC3"/>
    <w:rsid w:val="0060644D"/>
    <w:rsid w:val="00614935"/>
    <w:rsid w:val="00627510"/>
    <w:rsid w:val="006314E2"/>
    <w:rsid w:val="00653864"/>
    <w:rsid w:val="00660F64"/>
    <w:rsid w:val="00686A57"/>
    <w:rsid w:val="006A3974"/>
    <w:rsid w:val="006C5546"/>
    <w:rsid w:val="006E47B1"/>
    <w:rsid w:val="00701840"/>
    <w:rsid w:val="007024DC"/>
    <w:rsid w:val="007038FE"/>
    <w:rsid w:val="00730865"/>
    <w:rsid w:val="007467D3"/>
    <w:rsid w:val="00747E68"/>
    <w:rsid w:val="00753D08"/>
    <w:rsid w:val="00770E44"/>
    <w:rsid w:val="007A102F"/>
    <w:rsid w:val="007A1BD0"/>
    <w:rsid w:val="007A41A5"/>
    <w:rsid w:val="007B3C2A"/>
    <w:rsid w:val="007D3F51"/>
    <w:rsid w:val="007E50EB"/>
    <w:rsid w:val="007F1954"/>
    <w:rsid w:val="00800F59"/>
    <w:rsid w:val="0080788C"/>
    <w:rsid w:val="008104B7"/>
    <w:rsid w:val="0082204A"/>
    <w:rsid w:val="00825027"/>
    <w:rsid w:val="00860220"/>
    <w:rsid w:val="00874A67"/>
    <w:rsid w:val="00887DF3"/>
    <w:rsid w:val="008A2DE0"/>
    <w:rsid w:val="008C4B0E"/>
    <w:rsid w:val="008E4F9B"/>
    <w:rsid w:val="008F042D"/>
    <w:rsid w:val="00905639"/>
    <w:rsid w:val="009107C1"/>
    <w:rsid w:val="00916C8D"/>
    <w:rsid w:val="00923E10"/>
    <w:rsid w:val="009400E2"/>
    <w:rsid w:val="00961D5C"/>
    <w:rsid w:val="009757B9"/>
    <w:rsid w:val="009D25AB"/>
    <w:rsid w:val="009E7061"/>
    <w:rsid w:val="009F6F43"/>
    <w:rsid w:val="00A06A3A"/>
    <w:rsid w:val="00A07DFB"/>
    <w:rsid w:val="00A25963"/>
    <w:rsid w:val="00A551A4"/>
    <w:rsid w:val="00A704ED"/>
    <w:rsid w:val="00A717CA"/>
    <w:rsid w:val="00A95224"/>
    <w:rsid w:val="00AA6B00"/>
    <w:rsid w:val="00AB0DA7"/>
    <w:rsid w:val="00AD0A95"/>
    <w:rsid w:val="00AD3D45"/>
    <w:rsid w:val="00AF38F3"/>
    <w:rsid w:val="00B042ED"/>
    <w:rsid w:val="00B06B1D"/>
    <w:rsid w:val="00B50775"/>
    <w:rsid w:val="00B53A08"/>
    <w:rsid w:val="00B95E2C"/>
    <w:rsid w:val="00C05D1D"/>
    <w:rsid w:val="00C06B2F"/>
    <w:rsid w:val="00C262A5"/>
    <w:rsid w:val="00C43645"/>
    <w:rsid w:val="00C44139"/>
    <w:rsid w:val="00C4574E"/>
    <w:rsid w:val="00C517D4"/>
    <w:rsid w:val="00C6329B"/>
    <w:rsid w:val="00C6585E"/>
    <w:rsid w:val="00C74C40"/>
    <w:rsid w:val="00C80DC3"/>
    <w:rsid w:val="00C84687"/>
    <w:rsid w:val="00CA09C9"/>
    <w:rsid w:val="00CC7CC9"/>
    <w:rsid w:val="00CF4BE9"/>
    <w:rsid w:val="00CF5EE4"/>
    <w:rsid w:val="00D0633B"/>
    <w:rsid w:val="00D57D13"/>
    <w:rsid w:val="00D66078"/>
    <w:rsid w:val="00D803DB"/>
    <w:rsid w:val="00D85B33"/>
    <w:rsid w:val="00D86C38"/>
    <w:rsid w:val="00E038A1"/>
    <w:rsid w:val="00E05C4D"/>
    <w:rsid w:val="00E31F1C"/>
    <w:rsid w:val="00E36986"/>
    <w:rsid w:val="00E746D9"/>
    <w:rsid w:val="00EA41A1"/>
    <w:rsid w:val="00EC02F8"/>
    <w:rsid w:val="00EC1348"/>
    <w:rsid w:val="00ED5D6D"/>
    <w:rsid w:val="00ED7714"/>
    <w:rsid w:val="00EE0953"/>
    <w:rsid w:val="00F04915"/>
    <w:rsid w:val="00F3715F"/>
    <w:rsid w:val="00F95058"/>
    <w:rsid w:val="00F972EF"/>
    <w:rsid w:val="00FA5B20"/>
    <w:rsid w:val="00FB407F"/>
    <w:rsid w:val="00FD49E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785C"/>
  <w15:docId w15:val="{7CBAF4D2-63FD-4A25-A13A-E266FCE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8A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B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8232-4B3C-4465-8A70-05EB6825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Heffner, Scott D.</dc:creator>
  <cp:lastModifiedBy>Sutton, Donna C.</cp:lastModifiedBy>
  <cp:revision>2</cp:revision>
  <cp:lastPrinted>2018-12-17T21:25:00Z</cp:lastPrinted>
  <dcterms:created xsi:type="dcterms:W3CDTF">2021-12-17T15:13:00Z</dcterms:created>
  <dcterms:modified xsi:type="dcterms:W3CDTF">2021-12-17T15:13:00Z</dcterms:modified>
</cp:coreProperties>
</file>